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2A18" w14:textId="77777777" w:rsidR="00D1763D" w:rsidRPr="00D1763D" w:rsidRDefault="00D1763D" w:rsidP="00D1763D">
      <w:pPr>
        <w:spacing w:after="120" w:line="240" w:lineRule="auto"/>
        <w:outlineLvl w:val="0"/>
        <w:rPr>
          <w:rFonts w:ascii="Source Sans Pro" w:eastAsia="Times New Roman" w:hAnsi="Source Sans Pro" w:cs="Times New Roman"/>
          <w:b/>
          <w:bCs/>
          <w:color w:val="002E6D"/>
          <w:kern w:val="36"/>
          <w:sz w:val="48"/>
          <w:szCs w:val="48"/>
        </w:rPr>
      </w:pPr>
      <w:r w:rsidRPr="00D1763D">
        <w:rPr>
          <w:rFonts w:ascii="Source Sans Pro" w:eastAsia="Times New Roman" w:hAnsi="Source Sans Pro" w:cs="Times New Roman"/>
          <w:b/>
          <w:bCs/>
          <w:color w:val="002E6D"/>
          <w:kern w:val="36"/>
          <w:sz w:val="48"/>
          <w:szCs w:val="48"/>
        </w:rPr>
        <w:t>Loans</w:t>
      </w:r>
    </w:p>
    <w:p w14:paraId="1E55CDF6" w14:textId="77777777" w:rsidR="00D1763D" w:rsidRPr="00D1763D" w:rsidRDefault="00D1763D" w:rsidP="00D1763D">
      <w:pPr>
        <w:spacing w:after="264" w:line="240" w:lineRule="auto"/>
        <w:outlineLvl w:val="1"/>
        <w:rPr>
          <w:rFonts w:ascii="Georgia" w:eastAsia="Times New Roman" w:hAnsi="Georgia" w:cs="Times New Roman"/>
          <w:i/>
          <w:iCs/>
          <w:color w:val="686868"/>
          <w:sz w:val="36"/>
          <w:szCs w:val="36"/>
        </w:rPr>
      </w:pPr>
      <w:r w:rsidRPr="00D1763D">
        <w:rPr>
          <w:rFonts w:ascii="Georgia" w:eastAsia="Times New Roman" w:hAnsi="Georgia" w:cs="Times New Roman"/>
          <w:i/>
          <w:iCs/>
          <w:color w:val="686868"/>
          <w:sz w:val="36"/>
          <w:szCs w:val="36"/>
        </w:rPr>
        <w:t>Start or expand your business with loans guaranteed by the Small Business Administration. Use Lender Match to find lenders that offer loans for your business.</w:t>
      </w:r>
    </w:p>
    <w:p w14:paraId="1C60BDF0" w14:textId="5CCB17EE" w:rsidR="00832A66" w:rsidRDefault="00832A66"/>
    <w:p w14:paraId="129B00E9" w14:textId="77777777" w:rsidR="00D1763D" w:rsidRPr="00D1763D" w:rsidRDefault="00D1763D" w:rsidP="00D1763D">
      <w:pPr>
        <w:spacing w:after="120" w:line="240" w:lineRule="auto"/>
        <w:outlineLvl w:val="1"/>
        <w:rPr>
          <w:rFonts w:ascii="Source Sans Pro" w:eastAsia="Times New Roman" w:hAnsi="Source Sans Pro" w:cs="Times New Roman"/>
          <w:color w:val="002E6D"/>
          <w:sz w:val="36"/>
          <w:szCs w:val="36"/>
        </w:rPr>
      </w:pPr>
      <w:r w:rsidRPr="00D1763D">
        <w:rPr>
          <w:rFonts w:ascii="Source Sans Pro" w:eastAsia="Times New Roman" w:hAnsi="Source Sans Pro" w:cs="Times New Roman"/>
          <w:color w:val="002E6D"/>
          <w:sz w:val="36"/>
          <w:szCs w:val="36"/>
        </w:rPr>
        <w:t>The SBA helps small businesses get loans</w:t>
      </w:r>
    </w:p>
    <w:p w14:paraId="5F7EABE8" w14:textId="1866F873" w:rsidR="00D1763D" w:rsidRDefault="00D1763D" w:rsidP="00D1763D">
      <w:pPr>
        <w:spacing w:before="100" w:beforeAutospacing="1" w:after="100" w:afterAutospacing="1" w:line="240" w:lineRule="auto"/>
        <w:rPr>
          <w:rFonts w:ascii="Source Sans Pro" w:eastAsia="Times New Roman" w:hAnsi="Source Sans Pro" w:cs="Times New Roman"/>
          <w:color w:val="1B1E29"/>
          <w:spacing w:val="-6"/>
          <w:sz w:val="27"/>
          <w:szCs w:val="27"/>
        </w:rPr>
      </w:pPr>
      <w:r w:rsidRPr="00D1763D">
        <w:rPr>
          <w:rFonts w:ascii="Source Sans Pro" w:eastAsia="Times New Roman" w:hAnsi="Source Sans Pro" w:cs="Times New Roman"/>
          <w:color w:val="1B1E29"/>
          <w:spacing w:val="-6"/>
          <w:sz w:val="27"/>
          <w:szCs w:val="27"/>
        </w:rPr>
        <w:t>The SBA works with lenders to provide loans to small businesses. The agency doesn’t lend money directly to small business owners. Instead, it sets guidelines for loans made by its partnering lenders, community development organizations, and micro-lending institutions. The SBA reduces risk for lenders and makes it easier for them to access capital. That makes it easier for small businesses to get loans.</w:t>
      </w:r>
    </w:p>
    <w:p w14:paraId="518E22C3" w14:textId="77777777" w:rsid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r>
        <w:rPr>
          <w:rFonts w:ascii="Source Sans Pro" w:eastAsia="Times New Roman" w:hAnsi="Source Sans Pro" w:cs="Times New Roman"/>
          <w:color w:val="1B1E29"/>
          <w:spacing w:val="-6"/>
          <w:sz w:val="27"/>
          <w:szCs w:val="27"/>
        </w:rPr>
        <w:t xml:space="preserve">Types of Loans offered </w:t>
      </w:r>
    </w:p>
    <w:p w14:paraId="7C06A7A7" w14:textId="0D21A8A5" w:rsidR="0055777B" w:rsidRP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5777B">
        <w:rPr>
          <w:rFonts w:ascii="Source Sans Pro" w:eastAsia="Times New Roman" w:hAnsi="Source Sans Pro" w:cs="Times New Roman"/>
          <w:color w:val="002E6D"/>
          <w:sz w:val="36"/>
          <w:szCs w:val="36"/>
        </w:rPr>
        <w:t>7(a) loan</w:t>
      </w:r>
    </w:p>
    <w:p w14:paraId="265AA536" w14:textId="77777777" w:rsidR="0055777B" w:rsidRP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5777B">
        <w:rPr>
          <w:rFonts w:ascii="Source Sans Pro" w:eastAsia="Times New Roman" w:hAnsi="Source Sans Pro" w:cs="Times New Roman"/>
          <w:color w:val="1B1E29"/>
          <w:spacing w:val="-6"/>
          <w:sz w:val="27"/>
          <w:szCs w:val="27"/>
        </w:rPr>
        <w:t>The 7(a) Loan Program, SBA’s most common loan program, includes financial help for small businesses with special requirements. This is the best option when real estate is part of a business purchase, but it can also be used for: </w:t>
      </w:r>
    </w:p>
    <w:p w14:paraId="7E80BFB0" w14:textId="77777777" w:rsidR="0055777B" w:rsidRPr="0055777B" w:rsidRDefault="0055777B" w:rsidP="0055777B">
      <w:pPr>
        <w:numPr>
          <w:ilvl w:val="0"/>
          <w:numId w:val="1"/>
        </w:numPr>
        <w:spacing w:before="100" w:beforeAutospacing="1" w:after="100" w:afterAutospacing="1" w:line="240" w:lineRule="auto"/>
        <w:ind w:left="1125"/>
        <w:rPr>
          <w:rFonts w:ascii="Source Sans Pro" w:eastAsia="Times New Roman" w:hAnsi="Source Sans Pro" w:cs="Times New Roman"/>
          <w:color w:val="1B1E29"/>
          <w:spacing w:val="-6"/>
          <w:sz w:val="27"/>
          <w:szCs w:val="27"/>
        </w:rPr>
      </w:pPr>
      <w:r w:rsidRPr="0055777B">
        <w:rPr>
          <w:rFonts w:ascii="Source Sans Pro" w:eastAsia="Times New Roman" w:hAnsi="Source Sans Pro" w:cs="Times New Roman"/>
          <w:color w:val="1B1E29"/>
          <w:spacing w:val="-6"/>
          <w:sz w:val="27"/>
          <w:szCs w:val="27"/>
        </w:rPr>
        <w:t>Short- and long-term working capital </w:t>
      </w:r>
    </w:p>
    <w:p w14:paraId="2C46B02F" w14:textId="77777777" w:rsidR="0055777B" w:rsidRPr="0055777B" w:rsidRDefault="0055777B" w:rsidP="0055777B">
      <w:pPr>
        <w:numPr>
          <w:ilvl w:val="0"/>
          <w:numId w:val="1"/>
        </w:numPr>
        <w:spacing w:before="100" w:beforeAutospacing="1" w:after="100" w:afterAutospacing="1" w:line="240" w:lineRule="auto"/>
        <w:ind w:left="1125"/>
        <w:rPr>
          <w:rFonts w:ascii="Source Sans Pro" w:eastAsia="Times New Roman" w:hAnsi="Source Sans Pro" w:cs="Times New Roman"/>
          <w:color w:val="1B1E29"/>
          <w:spacing w:val="-6"/>
          <w:sz w:val="27"/>
          <w:szCs w:val="27"/>
        </w:rPr>
      </w:pPr>
      <w:r w:rsidRPr="0055777B">
        <w:rPr>
          <w:rFonts w:ascii="Source Sans Pro" w:eastAsia="Times New Roman" w:hAnsi="Source Sans Pro" w:cs="Times New Roman"/>
          <w:color w:val="1B1E29"/>
          <w:spacing w:val="-6"/>
          <w:sz w:val="27"/>
          <w:szCs w:val="27"/>
        </w:rPr>
        <w:t>Refinance current business debt </w:t>
      </w:r>
    </w:p>
    <w:p w14:paraId="2EE1CE9F" w14:textId="77777777" w:rsidR="0055777B" w:rsidRPr="0055777B" w:rsidRDefault="0055777B" w:rsidP="0055777B">
      <w:pPr>
        <w:numPr>
          <w:ilvl w:val="0"/>
          <w:numId w:val="1"/>
        </w:numPr>
        <w:spacing w:before="100" w:beforeAutospacing="1" w:after="100" w:afterAutospacing="1" w:line="240" w:lineRule="auto"/>
        <w:ind w:left="1125"/>
        <w:rPr>
          <w:rFonts w:ascii="Source Sans Pro" w:eastAsia="Times New Roman" w:hAnsi="Source Sans Pro" w:cs="Times New Roman"/>
          <w:color w:val="1B1E29"/>
          <w:spacing w:val="-6"/>
          <w:sz w:val="27"/>
          <w:szCs w:val="27"/>
        </w:rPr>
      </w:pPr>
      <w:r w:rsidRPr="0055777B">
        <w:rPr>
          <w:rFonts w:ascii="Source Sans Pro" w:eastAsia="Times New Roman" w:hAnsi="Source Sans Pro" w:cs="Times New Roman"/>
          <w:color w:val="1B1E29"/>
          <w:spacing w:val="-6"/>
          <w:sz w:val="27"/>
          <w:szCs w:val="27"/>
        </w:rPr>
        <w:t>Purchase furniture, fixtures, and supplies </w:t>
      </w:r>
    </w:p>
    <w:p w14:paraId="27C0718B" w14:textId="5F4F860D" w:rsid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5777B">
        <w:rPr>
          <w:rFonts w:ascii="Source Sans Pro" w:eastAsia="Times New Roman" w:hAnsi="Source Sans Pro" w:cs="Times New Roman"/>
          <w:color w:val="1B1E29"/>
          <w:spacing w:val="-6"/>
          <w:sz w:val="27"/>
          <w:szCs w:val="27"/>
        </w:rPr>
        <w:t>The maximum loan amount for a 7(a) loan is $5 million. Key eligibility factors are based on what the business does to receive its income, its credit history, and where the business operates. Your lender will help you figure out which type of loan is best suited for your needs.</w:t>
      </w:r>
    </w:p>
    <w:p w14:paraId="08D67ED6" w14:textId="27CC909D" w:rsid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p>
    <w:p w14:paraId="55AE5326" w14:textId="77777777" w:rsid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p>
    <w:p w14:paraId="185C6D99" w14:textId="77777777" w:rsid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p>
    <w:p w14:paraId="6DD4ABB4" w14:textId="1BB8B74B" w:rsidR="0055777B" w:rsidRPr="0055777B" w:rsidRDefault="0055777B" w:rsidP="0055777B">
      <w:pPr>
        <w:spacing w:before="100" w:beforeAutospacing="1" w:after="100" w:afterAutospacing="1" w:line="240" w:lineRule="auto"/>
        <w:rPr>
          <w:rFonts w:ascii="Source Sans Pro" w:eastAsia="Times New Roman" w:hAnsi="Source Sans Pro" w:cs="Times New Roman"/>
          <w:b/>
          <w:bCs/>
          <w:color w:val="1B1E29"/>
          <w:spacing w:val="-6"/>
          <w:sz w:val="40"/>
          <w:szCs w:val="40"/>
        </w:rPr>
      </w:pPr>
      <w:r w:rsidRPr="0055777B">
        <w:rPr>
          <w:rFonts w:ascii="Source Sans Pro" w:eastAsia="Times New Roman" w:hAnsi="Source Sans Pro" w:cs="Times New Roman"/>
          <w:b/>
          <w:bCs/>
          <w:color w:val="1B1E29"/>
          <w:spacing w:val="-6"/>
          <w:sz w:val="40"/>
          <w:szCs w:val="40"/>
        </w:rPr>
        <w:lastRenderedPageBreak/>
        <w:t xml:space="preserve">504 Loan </w:t>
      </w:r>
    </w:p>
    <w:p w14:paraId="0B241FD8" w14:textId="77777777" w:rsidR="0055777B" w:rsidRDefault="0055777B" w:rsidP="0055777B">
      <w:pPr>
        <w:pStyle w:val="NormalWeb"/>
        <w:rPr>
          <w:rFonts w:ascii="Source Sans Pro" w:hAnsi="Source Sans Pro"/>
          <w:color w:val="1B1E29"/>
          <w:spacing w:val="-6"/>
          <w:sz w:val="27"/>
          <w:szCs w:val="27"/>
        </w:rPr>
      </w:pPr>
      <w:r>
        <w:rPr>
          <w:rFonts w:ascii="Source Sans Pro" w:hAnsi="Source Sans Pro"/>
          <w:color w:val="1B1E29"/>
          <w:spacing w:val="-6"/>
          <w:sz w:val="27"/>
          <w:szCs w:val="27"/>
        </w:rPr>
        <w:t>The CDC/504 Loan Program provides long-term, fixed rate financing of up to $5 million for major fixed assets that promote business growth and job creation.</w:t>
      </w:r>
    </w:p>
    <w:p w14:paraId="03E658C5" w14:textId="77777777" w:rsidR="0055777B" w:rsidRDefault="0055777B" w:rsidP="0055777B">
      <w:pPr>
        <w:pStyle w:val="NormalWeb"/>
        <w:rPr>
          <w:rFonts w:ascii="Source Sans Pro" w:hAnsi="Source Sans Pro"/>
          <w:color w:val="1B1E29"/>
          <w:spacing w:val="-6"/>
          <w:sz w:val="27"/>
          <w:szCs w:val="27"/>
        </w:rPr>
      </w:pPr>
      <w:r>
        <w:rPr>
          <w:rFonts w:ascii="Source Sans Pro" w:hAnsi="Source Sans Pro"/>
          <w:color w:val="1B1E29"/>
          <w:spacing w:val="-6"/>
          <w:sz w:val="27"/>
          <w:szCs w:val="27"/>
        </w:rPr>
        <w:t>504 loans are available through Certified Development Companies (CDCs), SBA's community-based partners who regulate nonprofits and promote economic development within their communities. CDCs are certified and regulated by the SBA.</w:t>
      </w:r>
    </w:p>
    <w:p w14:paraId="5806997C" w14:textId="77777777" w:rsidR="0055777B" w:rsidRDefault="0055777B" w:rsidP="0055777B">
      <w:pPr>
        <w:spacing w:before="100" w:beforeAutospacing="1" w:after="100" w:afterAutospacing="1" w:line="240" w:lineRule="auto"/>
        <w:rPr>
          <w:rFonts w:ascii="Source Sans Pro" w:eastAsia="Times New Roman" w:hAnsi="Source Sans Pro" w:cs="Times New Roman"/>
          <w:color w:val="1B1E29"/>
          <w:spacing w:val="-6"/>
          <w:sz w:val="27"/>
          <w:szCs w:val="27"/>
        </w:rPr>
      </w:pPr>
    </w:p>
    <w:p w14:paraId="3534650D" w14:textId="4817E706" w:rsidR="0055777B" w:rsidRPr="0055777B" w:rsidRDefault="0055777B" w:rsidP="0055777B">
      <w:pPr>
        <w:spacing w:before="100" w:beforeAutospacing="1" w:after="100" w:afterAutospacing="1" w:line="240" w:lineRule="auto"/>
        <w:rPr>
          <w:rFonts w:ascii="Source Sans Pro" w:eastAsia="Times New Roman" w:hAnsi="Source Sans Pro" w:cs="Times New Roman"/>
          <w:b/>
          <w:bCs/>
          <w:color w:val="1B1E29"/>
          <w:spacing w:val="-6"/>
          <w:sz w:val="40"/>
          <w:szCs w:val="40"/>
        </w:rPr>
      </w:pPr>
      <w:r w:rsidRPr="0055777B">
        <w:rPr>
          <w:rFonts w:ascii="Source Sans Pro" w:eastAsia="Times New Roman" w:hAnsi="Source Sans Pro" w:cs="Times New Roman"/>
          <w:b/>
          <w:bCs/>
          <w:color w:val="1B1E29"/>
          <w:spacing w:val="-6"/>
          <w:sz w:val="40"/>
          <w:szCs w:val="40"/>
        </w:rPr>
        <w:t>Microloan</w:t>
      </w:r>
    </w:p>
    <w:p w14:paraId="0A19BE34" w14:textId="77777777" w:rsidR="0055777B" w:rsidRDefault="0055777B" w:rsidP="0055777B">
      <w:pPr>
        <w:pStyle w:val="NormalWeb"/>
        <w:rPr>
          <w:rFonts w:ascii="Source Sans Pro" w:hAnsi="Source Sans Pro"/>
          <w:color w:val="1B1E29"/>
          <w:spacing w:val="-6"/>
          <w:sz w:val="27"/>
          <w:szCs w:val="27"/>
        </w:rPr>
      </w:pPr>
      <w:r>
        <w:rPr>
          <w:rFonts w:ascii="Source Sans Pro" w:hAnsi="Source Sans Pro"/>
          <w:color w:val="1B1E29"/>
          <w:spacing w:val="-6"/>
          <w:sz w:val="27"/>
          <w:szCs w:val="27"/>
        </w:rPr>
        <w:t>The microloan program provides loans up to $50,000 to help small businesses and certain not-for-profit childcare centers start up and expand. The average microloan is about $13,000.</w:t>
      </w:r>
    </w:p>
    <w:p w14:paraId="18A295E7" w14:textId="77777777" w:rsidR="0055777B" w:rsidRDefault="0055777B" w:rsidP="0055777B">
      <w:pPr>
        <w:pStyle w:val="NormalWeb"/>
        <w:rPr>
          <w:rFonts w:ascii="Source Sans Pro" w:hAnsi="Source Sans Pro"/>
          <w:color w:val="1B1E29"/>
          <w:spacing w:val="-6"/>
          <w:sz w:val="27"/>
          <w:szCs w:val="27"/>
        </w:rPr>
      </w:pPr>
      <w:r>
        <w:rPr>
          <w:rFonts w:ascii="Source Sans Pro" w:hAnsi="Source Sans Pro"/>
          <w:color w:val="1B1E29"/>
          <w:spacing w:val="-6"/>
          <w:sz w:val="27"/>
          <w:szCs w:val="27"/>
        </w:rPr>
        <w:t>The SBA provides funds to specially designated intermediary lenders, which are nonprofit community-based organizations with experience in lending as well as management and technical assistance. These intermediaries administer the Microloan program for eligible borrowers.</w:t>
      </w:r>
    </w:p>
    <w:p w14:paraId="59B02AD4" w14:textId="77777777" w:rsidR="0055777B" w:rsidRDefault="0055777B"/>
    <w:p w14:paraId="7661DCD3" w14:textId="2DE19623" w:rsidR="00D1763D" w:rsidRPr="0055777B" w:rsidRDefault="00D1763D">
      <w:pPr>
        <w:rPr>
          <w:b/>
          <w:bCs/>
          <w:sz w:val="36"/>
          <w:szCs w:val="36"/>
        </w:rPr>
      </w:pPr>
      <w:r w:rsidRPr="0055777B">
        <w:rPr>
          <w:b/>
          <w:bCs/>
          <w:sz w:val="36"/>
          <w:szCs w:val="36"/>
        </w:rPr>
        <w:t>To get matched to potential offering SBA-backed funding click below the link</w:t>
      </w:r>
      <w:r w:rsidR="0055777B">
        <w:rPr>
          <w:b/>
          <w:bCs/>
          <w:sz w:val="36"/>
          <w:szCs w:val="36"/>
        </w:rPr>
        <w:t xml:space="preserve"> for more information</w:t>
      </w:r>
      <w:r w:rsidRPr="0055777B">
        <w:rPr>
          <w:b/>
          <w:bCs/>
          <w:sz w:val="36"/>
          <w:szCs w:val="36"/>
        </w:rPr>
        <w:t xml:space="preserve">: </w:t>
      </w:r>
    </w:p>
    <w:p w14:paraId="477F9C8B" w14:textId="3731A13C" w:rsidR="00D1763D" w:rsidRPr="0055777B" w:rsidRDefault="00D1763D">
      <w:pPr>
        <w:rPr>
          <w:b/>
          <w:bCs/>
          <w:sz w:val="36"/>
          <w:szCs w:val="36"/>
        </w:rPr>
      </w:pPr>
      <w:hyperlink r:id="rId5" w:history="1">
        <w:r w:rsidRPr="0055777B">
          <w:rPr>
            <w:rStyle w:val="Hyperlink"/>
            <w:b/>
            <w:bCs/>
            <w:sz w:val="36"/>
            <w:szCs w:val="36"/>
          </w:rPr>
          <w:t>https://www.sba.gov/funding-programs/loans/lender-match</w:t>
        </w:r>
      </w:hyperlink>
      <w:r w:rsidRPr="0055777B">
        <w:rPr>
          <w:b/>
          <w:bCs/>
          <w:sz w:val="36"/>
          <w:szCs w:val="36"/>
        </w:rPr>
        <w:t xml:space="preserve"> </w:t>
      </w:r>
    </w:p>
    <w:p w14:paraId="06035371" w14:textId="48A4C4F5" w:rsidR="00D1763D" w:rsidRDefault="00D1763D"/>
    <w:p w14:paraId="7424B99A" w14:textId="77777777" w:rsidR="00D1763D" w:rsidRDefault="00D1763D"/>
    <w:sectPr w:rsidR="00D1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101F2"/>
    <w:multiLevelType w:val="multilevel"/>
    <w:tmpl w:val="980C73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3D"/>
    <w:rsid w:val="0055777B"/>
    <w:rsid w:val="00757E6C"/>
    <w:rsid w:val="00832A66"/>
    <w:rsid w:val="00AA3629"/>
    <w:rsid w:val="00D1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692C"/>
  <w15:chartTrackingRefBased/>
  <w15:docId w15:val="{593F1F03-30B5-4D51-AB63-FA190C21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3D"/>
    <w:rPr>
      <w:color w:val="0563C1" w:themeColor="hyperlink"/>
      <w:u w:val="single"/>
    </w:rPr>
  </w:style>
  <w:style w:type="character" w:styleId="UnresolvedMention">
    <w:name w:val="Unresolved Mention"/>
    <w:basedOn w:val="DefaultParagraphFont"/>
    <w:uiPriority w:val="99"/>
    <w:semiHidden/>
    <w:unhideWhenUsed/>
    <w:rsid w:val="00D1763D"/>
    <w:rPr>
      <w:color w:val="605E5C"/>
      <w:shd w:val="clear" w:color="auto" w:fill="E1DFDD"/>
    </w:rPr>
  </w:style>
  <w:style w:type="character" w:customStyle="1" w:styleId="Heading2Char">
    <w:name w:val="Heading 2 Char"/>
    <w:basedOn w:val="DefaultParagraphFont"/>
    <w:link w:val="Heading2"/>
    <w:uiPriority w:val="9"/>
    <w:semiHidden/>
    <w:rsid w:val="0055777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57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646">
      <w:bodyDiv w:val="1"/>
      <w:marLeft w:val="0"/>
      <w:marRight w:val="0"/>
      <w:marTop w:val="0"/>
      <w:marBottom w:val="0"/>
      <w:divBdr>
        <w:top w:val="none" w:sz="0" w:space="0" w:color="auto"/>
        <w:left w:val="none" w:sz="0" w:space="0" w:color="auto"/>
        <w:bottom w:val="none" w:sz="0" w:space="0" w:color="auto"/>
        <w:right w:val="none" w:sz="0" w:space="0" w:color="auto"/>
      </w:divBdr>
      <w:divsChild>
        <w:div w:id="1951231580">
          <w:marLeft w:val="0"/>
          <w:marRight w:val="0"/>
          <w:marTop w:val="0"/>
          <w:marBottom w:val="0"/>
          <w:divBdr>
            <w:top w:val="none" w:sz="0" w:space="0" w:color="auto"/>
            <w:left w:val="none" w:sz="0" w:space="0" w:color="auto"/>
            <w:bottom w:val="none" w:sz="0" w:space="0" w:color="auto"/>
            <w:right w:val="none" w:sz="0" w:space="0" w:color="auto"/>
          </w:divBdr>
          <w:divsChild>
            <w:div w:id="91560868">
              <w:marLeft w:val="0"/>
              <w:marRight w:val="0"/>
              <w:marTop w:val="0"/>
              <w:marBottom w:val="0"/>
              <w:divBdr>
                <w:top w:val="none" w:sz="0" w:space="0" w:color="auto"/>
                <w:left w:val="none" w:sz="0" w:space="0" w:color="auto"/>
                <w:bottom w:val="none" w:sz="0" w:space="0" w:color="auto"/>
                <w:right w:val="none" w:sz="0" w:space="0" w:color="auto"/>
              </w:divBdr>
            </w:div>
          </w:divsChild>
        </w:div>
        <w:div w:id="132186553">
          <w:marLeft w:val="0"/>
          <w:marRight w:val="0"/>
          <w:marTop w:val="0"/>
          <w:marBottom w:val="0"/>
          <w:divBdr>
            <w:top w:val="none" w:sz="0" w:space="0" w:color="auto"/>
            <w:left w:val="none" w:sz="0" w:space="0" w:color="auto"/>
            <w:bottom w:val="none" w:sz="0" w:space="0" w:color="auto"/>
            <w:right w:val="none" w:sz="0" w:space="0" w:color="auto"/>
          </w:divBdr>
          <w:divsChild>
            <w:div w:id="1218708457">
              <w:marLeft w:val="0"/>
              <w:marRight w:val="0"/>
              <w:marTop w:val="0"/>
              <w:marBottom w:val="0"/>
              <w:divBdr>
                <w:top w:val="none" w:sz="0" w:space="0" w:color="auto"/>
                <w:left w:val="none" w:sz="0" w:space="0" w:color="auto"/>
                <w:bottom w:val="none" w:sz="0" w:space="0" w:color="auto"/>
                <w:right w:val="none" w:sz="0" w:space="0" w:color="auto"/>
              </w:divBdr>
              <w:divsChild>
                <w:div w:id="2024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5649">
      <w:bodyDiv w:val="1"/>
      <w:marLeft w:val="0"/>
      <w:marRight w:val="0"/>
      <w:marTop w:val="0"/>
      <w:marBottom w:val="0"/>
      <w:divBdr>
        <w:top w:val="none" w:sz="0" w:space="0" w:color="auto"/>
        <w:left w:val="none" w:sz="0" w:space="0" w:color="auto"/>
        <w:bottom w:val="none" w:sz="0" w:space="0" w:color="auto"/>
        <w:right w:val="none" w:sz="0" w:space="0" w:color="auto"/>
      </w:divBdr>
      <w:divsChild>
        <w:div w:id="864908945">
          <w:marLeft w:val="0"/>
          <w:marRight w:val="0"/>
          <w:marTop w:val="0"/>
          <w:marBottom w:val="0"/>
          <w:divBdr>
            <w:top w:val="none" w:sz="0" w:space="0" w:color="auto"/>
            <w:left w:val="none" w:sz="0" w:space="0" w:color="auto"/>
            <w:bottom w:val="none" w:sz="0" w:space="0" w:color="auto"/>
            <w:right w:val="none" w:sz="0" w:space="0" w:color="auto"/>
          </w:divBdr>
          <w:divsChild>
            <w:div w:id="450825435">
              <w:marLeft w:val="0"/>
              <w:marRight w:val="0"/>
              <w:marTop w:val="0"/>
              <w:marBottom w:val="0"/>
              <w:divBdr>
                <w:top w:val="none" w:sz="0" w:space="0" w:color="auto"/>
                <w:left w:val="none" w:sz="0" w:space="0" w:color="auto"/>
                <w:bottom w:val="none" w:sz="0" w:space="0" w:color="auto"/>
                <w:right w:val="none" w:sz="0" w:space="0" w:color="auto"/>
              </w:divBdr>
            </w:div>
          </w:divsChild>
        </w:div>
        <w:div w:id="1692995736">
          <w:marLeft w:val="0"/>
          <w:marRight w:val="0"/>
          <w:marTop w:val="0"/>
          <w:marBottom w:val="0"/>
          <w:divBdr>
            <w:top w:val="none" w:sz="0" w:space="0" w:color="auto"/>
            <w:left w:val="none" w:sz="0" w:space="0" w:color="auto"/>
            <w:bottom w:val="none" w:sz="0" w:space="0" w:color="auto"/>
            <w:right w:val="none" w:sz="0" w:space="0" w:color="auto"/>
          </w:divBdr>
          <w:divsChild>
            <w:div w:id="628585476">
              <w:marLeft w:val="0"/>
              <w:marRight w:val="0"/>
              <w:marTop w:val="0"/>
              <w:marBottom w:val="0"/>
              <w:divBdr>
                <w:top w:val="none" w:sz="0" w:space="0" w:color="auto"/>
                <w:left w:val="none" w:sz="0" w:space="0" w:color="auto"/>
                <w:bottom w:val="none" w:sz="0" w:space="0" w:color="auto"/>
                <w:right w:val="none" w:sz="0" w:space="0" w:color="auto"/>
              </w:divBdr>
              <w:divsChild>
                <w:div w:id="8812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8117">
      <w:bodyDiv w:val="1"/>
      <w:marLeft w:val="0"/>
      <w:marRight w:val="0"/>
      <w:marTop w:val="0"/>
      <w:marBottom w:val="0"/>
      <w:divBdr>
        <w:top w:val="none" w:sz="0" w:space="0" w:color="auto"/>
        <w:left w:val="none" w:sz="0" w:space="0" w:color="auto"/>
        <w:bottom w:val="none" w:sz="0" w:space="0" w:color="auto"/>
        <w:right w:val="none" w:sz="0" w:space="0" w:color="auto"/>
      </w:divBdr>
    </w:div>
    <w:div w:id="532378786">
      <w:bodyDiv w:val="1"/>
      <w:marLeft w:val="0"/>
      <w:marRight w:val="0"/>
      <w:marTop w:val="0"/>
      <w:marBottom w:val="0"/>
      <w:divBdr>
        <w:top w:val="none" w:sz="0" w:space="0" w:color="auto"/>
        <w:left w:val="none" w:sz="0" w:space="0" w:color="auto"/>
        <w:bottom w:val="none" w:sz="0" w:space="0" w:color="auto"/>
        <w:right w:val="none" w:sz="0" w:space="0" w:color="auto"/>
      </w:divBdr>
    </w:div>
    <w:div w:id="655300426">
      <w:bodyDiv w:val="1"/>
      <w:marLeft w:val="0"/>
      <w:marRight w:val="0"/>
      <w:marTop w:val="0"/>
      <w:marBottom w:val="0"/>
      <w:divBdr>
        <w:top w:val="none" w:sz="0" w:space="0" w:color="auto"/>
        <w:left w:val="none" w:sz="0" w:space="0" w:color="auto"/>
        <w:bottom w:val="none" w:sz="0" w:space="0" w:color="auto"/>
        <w:right w:val="none" w:sz="0" w:space="0" w:color="auto"/>
      </w:divBdr>
      <w:divsChild>
        <w:div w:id="932056370">
          <w:marLeft w:val="0"/>
          <w:marRight w:val="0"/>
          <w:marTop w:val="0"/>
          <w:marBottom w:val="0"/>
          <w:divBdr>
            <w:top w:val="none" w:sz="0" w:space="0" w:color="auto"/>
            <w:left w:val="none" w:sz="0" w:space="0" w:color="auto"/>
            <w:bottom w:val="none" w:sz="0" w:space="0" w:color="auto"/>
            <w:right w:val="none" w:sz="0" w:space="0" w:color="auto"/>
          </w:divBdr>
          <w:divsChild>
            <w:div w:id="207076650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300"/>
                  <w:marRight w:val="-300"/>
                  <w:marTop w:val="0"/>
                  <w:marBottom w:val="0"/>
                  <w:divBdr>
                    <w:top w:val="none" w:sz="0" w:space="0" w:color="auto"/>
                    <w:left w:val="none" w:sz="0" w:space="0" w:color="auto"/>
                    <w:bottom w:val="none" w:sz="0" w:space="0" w:color="auto"/>
                    <w:right w:val="none" w:sz="0" w:space="0" w:color="auto"/>
                  </w:divBdr>
                  <w:divsChild>
                    <w:div w:id="746150004">
                      <w:marLeft w:val="0"/>
                      <w:marRight w:val="0"/>
                      <w:marTop w:val="0"/>
                      <w:marBottom w:val="0"/>
                      <w:divBdr>
                        <w:top w:val="none" w:sz="0" w:space="0" w:color="auto"/>
                        <w:left w:val="none" w:sz="0" w:space="0" w:color="auto"/>
                        <w:bottom w:val="none" w:sz="0" w:space="0" w:color="auto"/>
                        <w:right w:val="none" w:sz="0" w:space="0" w:color="auto"/>
                      </w:divBdr>
                      <w:divsChild>
                        <w:div w:id="2121073183">
                          <w:marLeft w:val="300"/>
                          <w:marRight w:val="0"/>
                          <w:marTop w:val="360"/>
                          <w:marBottom w:val="360"/>
                          <w:divBdr>
                            <w:top w:val="none" w:sz="0" w:space="0" w:color="auto"/>
                            <w:left w:val="none" w:sz="0" w:space="0" w:color="auto"/>
                            <w:bottom w:val="none" w:sz="0" w:space="0" w:color="auto"/>
                            <w:right w:val="none" w:sz="0" w:space="0" w:color="auto"/>
                          </w:divBdr>
                          <w:divsChild>
                            <w:div w:id="1744182411">
                              <w:marLeft w:val="0"/>
                              <w:marRight w:val="0"/>
                              <w:marTop w:val="0"/>
                              <w:marBottom w:val="0"/>
                              <w:divBdr>
                                <w:top w:val="none" w:sz="0" w:space="0" w:color="auto"/>
                                <w:left w:val="none" w:sz="0" w:space="0" w:color="auto"/>
                                <w:bottom w:val="none" w:sz="0" w:space="0" w:color="auto"/>
                                <w:right w:val="none" w:sz="0" w:space="0" w:color="auto"/>
                              </w:divBdr>
                              <w:divsChild>
                                <w:div w:id="1230573922">
                                  <w:marLeft w:val="0"/>
                                  <w:marRight w:val="0"/>
                                  <w:marTop w:val="0"/>
                                  <w:marBottom w:val="0"/>
                                  <w:divBdr>
                                    <w:top w:val="none" w:sz="0" w:space="0" w:color="auto"/>
                                    <w:left w:val="none" w:sz="0" w:space="0" w:color="auto"/>
                                    <w:bottom w:val="none" w:sz="0" w:space="0" w:color="auto"/>
                                    <w:right w:val="none" w:sz="0" w:space="0" w:color="auto"/>
                                  </w:divBdr>
                                  <w:divsChild>
                                    <w:div w:id="9355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0257">
                          <w:marLeft w:val="300"/>
                          <w:marRight w:val="0"/>
                          <w:marTop w:val="360"/>
                          <w:marBottom w:val="360"/>
                          <w:divBdr>
                            <w:top w:val="none" w:sz="0" w:space="0" w:color="auto"/>
                            <w:left w:val="none" w:sz="0" w:space="0" w:color="auto"/>
                            <w:bottom w:val="none" w:sz="0" w:space="0" w:color="auto"/>
                            <w:right w:val="none" w:sz="0" w:space="0" w:color="auto"/>
                          </w:divBdr>
                          <w:divsChild>
                            <w:div w:id="1043017126">
                              <w:marLeft w:val="0"/>
                              <w:marRight w:val="0"/>
                              <w:marTop w:val="0"/>
                              <w:marBottom w:val="0"/>
                              <w:divBdr>
                                <w:top w:val="none" w:sz="0" w:space="0" w:color="auto"/>
                                <w:left w:val="none" w:sz="0" w:space="0" w:color="auto"/>
                                <w:bottom w:val="none" w:sz="0" w:space="0" w:color="auto"/>
                                <w:right w:val="none" w:sz="0" w:space="0" w:color="auto"/>
                              </w:divBdr>
                              <w:divsChild>
                                <w:div w:id="296186993">
                                  <w:marLeft w:val="0"/>
                                  <w:marRight w:val="0"/>
                                  <w:marTop w:val="0"/>
                                  <w:marBottom w:val="0"/>
                                  <w:divBdr>
                                    <w:top w:val="none" w:sz="0" w:space="0" w:color="auto"/>
                                    <w:left w:val="none" w:sz="0" w:space="0" w:color="auto"/>
                                    <w:bottom w:val="none" w:sz="0" w:space="0" w:color="auto"/>
                                    <w:right w:val="none" w:sz="0" w:space="0" w:color="auto"/>
                                  </w:divBdr>
                                  <w:divsChild>
                                    <w:div w:id="14969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1570">
                          <w:marLeft w:val="300"/>
                          <w:marRight w:val="0"/>
                          <w:marTop w:val="360"/>
                          <w:marBottom w:val="360"/>
                          <w:divBdr>
                            <w:top w:val="none" w:sz="0" w:space="0" w:color="auto"/>
                            <w:left w:val="none" w:sz="0" w:space="0" w:color="auto"/>
                            <w:bottom w:val="none" w:sz="0" w:space="0" w:color="auto"/>
                            <w:right w:val="none" w:sz="0" w:space="0" w:color="auto"/>
                          </w:divBdr>
                          <w:divsChild>
                            <w:div w:id="1054816360">
                              <w:marLeft w:val="0"/>
                              <w:marRight w:val="0"/>
                              <w:marTop w:val="0"/>
                              <w:marBottom w:val="0"/>
                              <w:divBdr>
                                <w:top w:val="none" w:sz="0" w:space="0" w:color="auto"/>
                                <w:left w:val="none" w:sz="0" w:space="0" w:color="auto"/>
                                <w:bottom w:val="none" w:sz="0" w:space="0" w:color="auto"/>
                                <w:right w:val="none" w:sz="0" w:space="0" w:color="auto"/>
                              </w:divBdr>
                              <w:divsChild>
                                <w:div w:id="894704193">
                                  <w:marLeft w:val="0"/>
                                  <w:marRight w:val="0"/>
                                  <w:marTop w:val="0"/>
                                  <w:marBottom w:val="0"/>
                                  <w:divBdr>
                                    <w:top w:val="none" w:sz="0" w:space="0" w:color="auto"/>
                                    <w:left w:val="none" w:sz="0" w:space="0" w:color="auto"/>
                                    <w:bottom w:val="none" w:sz="0" w:space="0" w:color="auto"/>
                                    <w:right w:val="none" w:sz="0" w:space="0" w:color="auto"/>
                                  </w:divBdr>
                                  <w:divsChild>
                                    <w:div w:id="21202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001448">
          <w:marLeft w:val="0"/>
          <w:marRight w:val="0"/>
          <w:marTop w:val="0"/>
          <w:marBottom w:val="0"/>
          <w:divBdr>
            <w:top w:val="none" w:sz="0" w:space="0" w:color="auto"/>
            <w:left w:val="none" w:sz="0" w:space="0" w:color="auto"/>
            <w:bottom w:val="none" w:sz="0" w:space="0" w:color="auto"/>
            <w:right w:val="none" w:sz="0" w:space="0" w:color="auto"/>
          </w:divBdr>
          <w:divsChild>
            <w:div w:id="10908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a.gov/funding-programs/loans/lender-m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Dianelys Garcia</dc:creator>
  <cp:keywords/>
  <dc:description/>
  <cp:lastModifiedBy>Dianelys Garcia</cp:lastModifiedBy>
  <cp:revision>2</cp:revision>
  <dcterms:created xsi:type="dcterms:W3CDTF">2021-07-12T15:41:00Z</dcterms:created>
  <dcterms:modified xsi:type="dcterms:W3CDTF">2021-07-12T15:41:00Z</dcterms:modified>
</cp:coreProperties>
</file>